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5000" w:type="pct"/>
        <w:tblCellSpacing w:w="0" w:type="dxa"/>
        <w:tblCellMar>
          <w:left w:w="0" w:type="dxa"/>
          <w:right w:w="0" w:type="dxa"/>
        </w:tblCellMar>
        <w:tblLook w:val="04A0"/>
      </w:tblPr>
      <w:tblGrid>
        <w:gridCol w:w="440"/>
        <w:gridCol w:w="8914"/>
        <w:gridCol w:w="6"/>
      </w:tblGrid>
      <w:tr w:rsidR="00905178" w:rsidRPr="00B0015C" w:rsidTr="006B523E">
        <w:trPr>
          <w:gridAfter w:val="1"/>
          <w:trHeight w:val="428"/>
          <w:tblCellSpacing w:w="0" w:type="dxa"/>
        </w:trPr>
        <w:tc>
          <w:tcPr>
            <w:tcW w:w="0" w:type="auto"/>
            <w:tcMar>
              <w:top w:w="60" w:type="dxa"/>
              <w:left w:w="0" w:type="dxa"/>
              <w:bottom w:w="0" w:type="dxa"/>
              <w:right w:w="428" w:type="dxa"/>
            </w:tcMar>
            <w:vAlign w:val="center"/>
            <w:hideMark/>
          </w:tcPr>
          <w:tbl>
            <w:tblPr>
              <w:bidiVisual/>
              <w:tblW w:w="5000" w:type="pct"/>
              <w:tblCellSpacing w:w="0" w:type="dxa"/>
              <w:tblCellMar>
                <w:left w:w="0" w:type="dxa"/>
                <w:right w:w="0" w:type="dxa"/>
              </w:tblCellMar>
              <w:tblLook w:val="04A0"/>
            </w:tblPr>
            <w:tblGrid>
              <w:gridCol w:w="6"/>
              <w:gridCol w:w="6"/>
            </w:tblGrid>
            <w:tr w:rsidR="00905178" w:rsidRPr="00B0015C" w:rsidTr="00905178">
              <w:trPr>
                <w:trHeight w:val="657"/>
                <w:tblCellSpacing w:w="0" w:type="dxa"/>
              </w:trPr>
              <w:tc>
                <w:tcPr>
                  <w:tcW w:w="5000" w:type="pct"/>
                  <w:vAlign w:val="center"/>
                  <w:hideMark/>
                </w:tcPr>
                <w:p w:rsidR="00905178" w:rsidRPr="00B0015C" w:rsidRDefault="00905178" w:rsidP="00905178">
                  <w:pPr>
                    <w:bidi/>
                    <w:spacing w:after="0" w:line="240" w:lineRule="auto"/>
                    <w:rPr>
                      <w:rFonts w:ascii="Tahoma" w:eastAsia="Times New Roman" w:hAnsi="Tahoma" w:cs="Tahoma"/>
                      <w:color w:val="000000" w:themeColor="text1"/>
                      <w:sz w:val="14"/>
                      <w:szCs w:val="14"/>
                    </w:rPr>
                  </w:pPr>
                </w:p>
              </w:tc>
              <w:tc>
                <w:tcPr>
                  <w:tcW w:w="5000" w:type="pct"/>
                  <w:vAlign w:val="center"/>
                  <w:hideMark/>
                </w:tcPr>
                <w:p w:rsidR="00905178" w:rsidRPr="00B0015C" w:rsidRDefault="00905178" w:rsidP="00905178">
                  <w:pPr>
                    <w:bidi/>
                    <w:spacing w:after="0" w:line="240" w:lineRule="auto"/>
                    <w:rPr>
                      <w:rFonts w:ascii="Tahoma" w:eastAsia="Times New Roman" w:hAnsi="Tahoma" w:cs="Tahoma"/>
                      <w:color w:val="000000" w:themeColor="text1"/>
                      <w:sz w:val="14"/>
                      <w:szCs w:val="14"/>
                    </w:rPr>
                  </w:pPr>
                </w:p>
              </w:tc>
            </w:tr>
          </w:tbl>
          <w:p w:rsidR="00905178" w:rsidRPr="00B0015C" w:rsidRDefault="00905178" w:rsidP="006B523E">
            <w:pPr>
              <w:bidi/>
              <w:spacing w:after="0" w:line="240" w:lineRule="auto"/>
              <w:rPr>
                <w:rFonts w:ascii="Tahoma" w:eastAsia="Times New Roman" w:hAnsi="Tahoma" w:cs="Tahoma"/>
                <w:color w:val="000000" w:themeColor="text1"/>
                <w:sz w:val="14"/>
                <w:szCs w:val="14"/>
              </w:rPr>
            </w:pPr>
          </w:p>
        </w:tc>
        <w:tc>
          <w:tcPr>
            <w:tcW w:w="0" w:type="auto"/>
            <w:vAlign w:val="center"/>
            <w:hideMark/>
          </w:tcPr>
          <w:p w:rsidR="00905178" w:rsidRPr="00B0015C" w:rsidRDefault="00905178" w:rsidP="00905178">
            <w:pPr>
              <w:bidi/>
              <w:spacing w:after="0" w:line="240" w:lineRule="auto"/>
              <w:rPr>
                <w:rFonts w:ascii="Tahoma" w:eastAsia="Times New Roman" w:hAnsi="Tahoma" w:cs="Tahoma"/>
                <w:color w:val="000000" w:themeColor="text1"/>
                <w:sz w:val="14"/>
                <w:szCs w:val="14"/>
              </w:rPr>
            </w:pPr>
          </w:p>
        </w:tc>
      </w:tr>
      <w:tr w:rsidR="00905178" w:rsidRPr="00B0015C" w:rsidTr="006B523E">
        <w:trPr>
          <w:tblCellSpacing w:w="0" w:type="dxa"/>
        </w:trPr>
        <w:tc>
          <w:tcPr>
            <w:tcW w:w="0" w:type="auto"/>
            <w:vAlign w:val="center"/>
            <w:hideMark/>
          </w:tcPr>
          <w:p w:rsidR="00905178" w:rsidRPr="00B0015C" w:rsidRDefault="00905178" w:rsidP="00905178">
            <w:pPr>
              <w:bidi/>
              <w:spacing w:after="0" w:line="240" w:lineRule="auto"/>
              <w:rPr>
                <w:rFonts w:ascii="Tahoma" w:eastAsia="Times New Roman" w:hAnsi="Tahoma" w:cs="Tahoma"/>
                <w:color w:val="000000" w:themeColor="text1"/>
                <w:sz w:val="14"/>
                <w:szCs w:val="14"/>
              </w:rPr>
            </w:pPr>
          </w:p>
        </w:tc>
        <w:tc>
          <w:tcPr>
            <w:tcW w:w="0" w:type="auto"/>
            <w:vAlign w:val="center"/>
            <w:hideMark/>
          </w:tcPr>
          <w:p w:rsidR="00905178" w:rsidRPr="00B0015C" w:rsidRDefault="00905178" w:rsidP="006B523E">
            <w:pPr>
              <w:bidi/>
              <w:spacing w:after="0" w:line="240" w:lineRule="auto"/>
              <w:jc w:val="both"/>
              <w:rPr>
                <w:rFonts w:ascii="Tahoma" w:eastAsia="Times New Roman" w:hAnsi="Tahoma" w:cs="Tahoma"/>
                <w:vanish/>
                <w:color w:val="000000" w:themeColor="text1"/>
                <w:sz w:val="14"/>
                <w:szCs w:val="14"/>
              </w:rPr>
            </w:pPr>
          </w:p>
        </w:tc>
        <w:tc>
          <w:tcPr>
            <w:tcW w:w="0" w:type="auto"/>
            <w:vAlign w:val="center"/>
            <w:hideMark/>
          </w:tcPr>
          <w:p w:rsidR="00905178" w:rsidRPr="00B0015C" w:rsidRDefault="00905178" w:rsidP="00905178">
            <w:pPr>
              <w:bidi/>
              <w:spacing w:after="0" w:line="240" w:lineRule="auto"/>
              <w:rPr>
                <w:rFonts w:ascii="Tahoma" w:eastAsia="Times New Roman" w:hAnsi="Tahoma" w:cs="Tahoma"/>
                <w:color w:val="000000" w:themeColor="text1"/>
                <w:sz w:val="14"/>
                <w:szCs w:val="14"/>
              </w:rPr>
            </w:pPr>
          </w:p>
        </w:tc>
      </w:tr>
      <w:tr w:rsidR="00905178" w:rsidRPr="00B0015C" w:rsidTr="006B523E">
        <w:trPr>
          <w:tblCellSpacing w:w="0" w:type="dxa"/>
        </w:trPr>
        <w:tc>
          <w:tcPr>
            <w:tcW w:w="0" w:type="auto"/>
            <w:vAlign w:val="center"/>
            <w:hideMark/>
          </w:tcPr>
          <w:p w:rsidR="00905178" w:rsidRPr="00B0015C" w:rsidRDefault="00905178" w:rsidP="00905178">
            <w:pPr>
              <w:bidi/>
              <w:spacing w:after="0" w:line="240" w:lineRule="auto"/>
              <w:rPr>
                <w:rFonts w:ascii="Tahoma" w:eastAsia="Times New Roman" w:hAnsi="Tahoma" w:cs="Tahoma"/>
                <w:color w:val="000000" w:themeColor="text1"/>
                <w:sz w:val="14"/>
                <w:szCs w:val="14"/>
              </w:rPr>
            </w:pPr>
          </w:p>
        </w:tc>
        <w:tc>
          <w:tcPr>
            <w:tcW w:w="5000" w:type="pct"/>
            <w:vAlign w:val="center"/>
            <w:hideMark/>
          </w:tcPr>
          <w:p w:rsidR="00905178" w:rsidRDefault="00905178">
            <w:pPr>
              <w:bidi/>
            </w:pPr>
            <w:r w:rsidRPr="00905178">
              <w:rPr>
                <w:rFonts w:ascii="Tahoma" w:eastAsia="Times New Roman" w:hAnsi="Tahoma" w:cs="Tahoma" w:hint="cs"/>
                <w:color w:val="000000" w:themeColor="text1"/>
                <w:sz w:val="16"/>
                <w:rtl/>
              </w:rPr>
              <w:t>آ</w:t>
            </w:r>
            <w:r w:rsidRPr="00905178">
              <w:rPr>
                <w:rFonts w:ascii="Tahoma" w:eastAsia="Times New Roman" w:hAnsi="Tahoma" w:cs="Tahoma"/>
                <w:color w:val="000000" w:themeColor="text1"/>
                <w:sz w:val="16"/>
                <w:rtl/>
              </w:rPr>
              <w:t>يين نامه مربوط به استفاده از اراضي، احداث بنا</w:t>
            </w:r>
          </w:p>
          <w:tbl>
            <w:tblPr>
              <w:bidiVisual/>
              <w:tblW w:w="4900" w:type="pct"/>
              <w:tblCellSpacing w:w="15" w:type="dxa"/>
              <w:tblCellMar>
                <w:top w:w="15" w:type="dxa"/>
                <w:left w:w="15" w:type="dxa"/>
                <w:bottom w:w="15" w:type="dxa"/>
                <w:right w:w="15" w:type="dxa"/>
              </w:tblCellMar>
              <w:tblLook w:val="04A0"/>
            </w:tblPr>
            <w:tblGrid>
              <w:gridCol w:w="8736"/>
            </w:tblGrid>
            <w:tr w:rsidR="00905178" w:rsidRPr="00B0015C" w:rsidTr="006B523E">
              <w:trPr>
                <w:tblCellSpacing w:w="15" w:type="dxa"/>
              </w:trPr>
              <w:tc>
                <w:tcPr>
                  <w:tcW w:w="0" w:type="auto"/>
                  <w:vAlign w:val="center"/>
                  <w:hideMark/>
                </w:tcPr>
                <w:p w:rsidR="00905178" w:rsidRPr="00B0015C" w:rsidRDefault="00905178" w:rsidP="00905178">
                  <w:pPr>
                    <w:bidi/>
                    <w:spacing w:after="0" w:line="240" w:lineRule="auto"/>
                    <w:rPr>
                      <w:rFonts w:ascii="Tahoma" w:eastAsia="Times New Roman" w:hAnsi="Tahoma" w:cs="Tahoma"/>
                      <w:color w:val="000000" w:themeColor="text1"/>
                      <w:sz w:val="14"/>
                      <w:szCs w:val="14"/>
                    </w:rPr>
                  </w:pPr>
                  <w:r w:rsidRPr="00B0015C">
                    <w:rPr>
                      <w:rFonts w:ascii="Tahoma" w:eastAsia="Times New Roman" w:hAnsi="Tahoma" w:cs="Tahoma"/>
                      <w:color w:val="000000" w:themeColor="text1"/>
                      <w:sz w:val="14"/>
                      <w:szCs w:val="14"/>
                      <w:rtl/>
                    </w:rPr>
                    <w:br/>
                    <w:t>هئيت وزيران در جلسه مورخ 27/2/1355 بنا به پيشنهاد شماره 32569مورخ 19/9/54 وزارت مسكن و شهرسازي و به استناد ماده 8 قانون تغيير نام وزارتآباداني و مسكن به وزارت مسكن و شهرسازي و تعيين وظائف آن آئيننامه مربوط بهاستفاده از اراضي، احداث بنا و تأسيسات در خارج از محدوده قانوني و حريم شهرها رابه شرح زير تصويب نمودند:</w:t>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t>ماده 1</w:t>
                  </w:r>
                  <w:r w:rsidRPr="00B0015C">
                    <w:rPr>
                      <w:rFonts w:ascii="Tahoma" w:eastAsia="Times New Roman" w:hAnsi="Tahoma" w:cs="Tahoma"/>
                      <w:color w:val="000000" w:themeColor="text1"/>
                      <w:sz w:val="14"/>
                      <w:szCs w:val="14"/>
                      <w:rtl/>
                    </w:rPr>
                    <w:br/>
                    <w:t>از لحاظ اجراي مقررات مندرج در اين آئين نامه كلمات و عباراتمحدوده قانوني و حريم شهر (محدوده استحفاظي يا نفوذي) در مفاهيم زير به كار رفتهاست:</w:t>
                  </w:r>
                  <w:r w:rsidRPr="00B0015C">
                    <w:rPr>
                      <w:rFonts w:ascii="Tahoma" w:eastAsia="Times New Roman" w:hAnsi="Tahoma" w:cs="Tahoma"/>
                      <w:color w:val="000000" w:themeColor="text1"/>
                      <w:sz w:val="14"/>
                      <w:szCs w:val="14"/>
                      <w:rtl/>
                    </w:rPr>
                    <w:br/>
                    <w:t>1-محدوده قانوني در شهرهائي كه طرح جامع يا طرح هادي براي آنها تهيه و بهتصويب مراجع ذيربط رسيده باشد شامل محدوده خدماتي به اضافه محدوده توسعه آينده شهركه در طرح جامع يا هادي منظور گرديده است خواهد بود مگر اينكه حدود حوزه شهرداريتعيين شده طبق ماده 2 قانون شهرداري وسيعتر از آن باشد كه در اين صورت محدودهاخيرالذكر محدوده قانوني شناخته ميشود و در مورد ساير شهرها محدوده قانوني همانحدود حوزه شهرداري است كه طبق ماده 2 قانون شهرداري تعيين ميگردد</w:t>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t>2-در شهرهائي كه طرح جامع يا هادي براي آنها تهيه شده و به تصويب مراجعذيربط رسيده و در طرحهاي مذكور محدوده استحفاظي يا نفوذي مشخص گرديده است حريم شهرهمان محدوده استحفاظي يا نفوذي است و در مورد شهرهائي كه فاقد طرح جامع يا هاديبوده و يا محدوده استحفاظي يا نفوذي در طرحهاي مذكور تعيين نشده باشد حريم شهر براساس ماده 99 الحاقي به قانون شهرداري تعيين ميگردد.</w:t>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t>ماده 2</w:t>
                  </w:r>
                  <w:r w:rsidRPr="00B0015C">
                    <w:rPr>
                      <w:rFonts w:ascii="Tahoma" w:eastAsia="Times New Roman" w:hAnsi="Tahoma" w:cs="Tahoma"/>
                      <w:color w:val="000000" w:themeColor="text1"/>
                      <w:sz w:val="14"/>
                      <w:szCs w:val="14"/>
                      <w:rtl/>
                    </w:rPr>
                    <w:br/>
                    <w:t>ساختمانها و تأسيساتي كه در خارج از محدوده قانوني و حريم شهرهاايجاد ميگردند به يكي از دو صورت زير خواهد بود:</w:t>
                  </w:r>
                  <w:r w:rsidRPr="00B0015C">
                    <w:rPr>
                      <w:rFonts w:ascii="Tahoma" w:eastAsia="Times New Roman" w:hAnsi="Tahoma" w:cs="Tahoma"/>
                      <w:color w:val="000000" w:themeColor="text1"/>
                      <w:sz w:val="14"/>
                      <w:szCs w:val="14"/>
                      <w:rtl/>
                    </w:rPr>
                    <w:br/>
                    <w:t>الف ـ شهرك به محلي اطلاقميشود كه در خارج از محدوده قانوني و حريم شهرها با حداقل 500 قطعه زمين براي احداثواحدهاي مسكوني به صورت مستقل يا آپارتماني قابل تملك شخصي به اضافه ساختمانها وتأسيسات مورد نياز عمومي و اجتماعي سكنه به صورت مجتمع براي سكونت و تأمين نيازهايعمومي و اجتماعي و رفاهي شاغلين بخشهاي مختلف اقتصادي و اجتماعي يك منطقه يا بهمنظور رفع كمبود مسكن و جلوگيري از توسعه بيتناسب شهرهاي مجاور يا به صورت مراكزتفريحي جهت استفاده مردم يك منطقه يا مردم سراسر كشور به وجود آمده امور آن بهوسيله هيئتي كه توسط ساكنان و مالكان انتخاب ميشوند و با خود ياري ساكنان و مالكاناداره ميشود.</w:t>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t>ب ـ غير شهرك به ساختمانها و تأسيساتي اطلاق ميشود كه براي تأميننيازمنديهاي، عمومي، اقتصادي، تجاري، اجتماعي، بهداشتي، تفريحي آموزشي و نظائر آندر خارج از محدوده قانوني و حريم شهرها ايجاد گردد. در صورتي كه ساختمانهاي ديگرينيز به اقتضاي نوع فعاليت در مجاورت تأسيسات</w:t>
                  </w:r>
                  <w:r w:rsidRPr="00B0015C">
                    <w:rPr>
                      <w:rFonts w:ascii="Tahoma" w:eastAsia="Times New Roman" w:hAnsi="Tahoma" w:cs="Tahoma"/>
                      <w:color w:val="000000" w:themeColor="text1"/>
                      <w:sz w:val="14"/>
                      <w:szCs w:val="14"/>
                      <w:rtl/>
                    </w:rPr>
                    <w:br/>
                    <w:t>مذكور ايجاد شود واحد عليحده محسوبنميشود و از نظر ثبتي قابل تجزيه و تفكيك نيست.</w:t>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t>ماده 3</w:t>
                  </w:r>
                  <w:r w:rsidRPr="00B0015C">
                    <w:rPr>
                      <w:rFonts w:ascii="Tahoma" w:eastAsia="Times New Roman" w:hAnsi="Tahoma" w:cs="Tahoma"/>
                      <w:color w:val="000000" w:themeColor="text1"/>
                      <w:sz w:val="14"/>
                      <w:szCs w:val="14"/>
                      <w:rtl/>
                    </w:rPr>
                    <w:br/>
                    <w:t>تفكيك و تقسيم اراضي واقع در خارج از محدوده قانوني و حريم شهرهابه قطعات كمتر از بيست هكتار تابع ضوابط و ترتيبات زير ميباشد:</w:t>
                  </w:r>
                  <w:r w:rsidRPr="00B0015C">
                    <w:rPr>
                      <w:rFonts w:ascii="Tahoma" w:eastAsia="Times New Roman" w:hAnsi="Tahoma" w:cs="Tahoma"/>
                      <w:color w:val="000000" w:themeColor="text1"/>
                      <w:sz w:val="14"/>
                      <w:szCs w:val="14"/>
                      <w:rtl/>
                    </w:rPr>
                    <w:br/>
                    <w:t>الف ـ در مورداراضي شهركها تشريفات و ضوابط مقرر در فصل سوم اين آئين نامه بايد انجام گردد.</w:t>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t>ب ـ در مورد اراضي غير شهرك تفكيك تحت شرايط و ترتيبات زير مجاز خواهد بود:</w:t>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t>1- هدف از تفكيك، اجراي طرح مشخصي باشد كه طبق مقررات مربوط مورد موافقتمراجع ذيربط قرار گرفته باشد.</w:t>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t>2- مساحت قطعات تفكيكي معادل و متناسب با اجراي مورد نظر باشد.</w:t>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t>3- انجام عمليات ساختماني يا تأسيساتي طرح در زمين مورد نظر امكان پذير باشدو مغايرتي با ضوابط مقرر در ماده 4 اين آئين نامه نداشته باشد.</w:t>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t>4- اعلام نظر وزارت كشاورزي و منابع طبيعي يا واحدهاي تابع آن وزارت كهاختيارات لازم به آنها تفويض شده باشد مبني بر عدم قابليت توليد زراعي اراضي واقتصادي نبودن بهرهوري كشاورزي از زمين مورد نظر و مناسب بودن آن براي اجراي طرحنسبت به اراضي ديگر همان حوزه كشاورزي.</w:t>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t>5- نقاط و نقشه تفكيكي ضمن رعايت كليه شرايط بالا مورد تصويب مراجعي كه درحوزه هر استان اختيار صدور پروانه هاي ساختماني را در خارج از محدوده قانوني و حريمشهرها دارند قرار گرفته باشد.</w:t>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t>تبصره 1ـ ادارات ثبت مجاز نخواهند بود هيچ نوع تقاضاي تفكيكي را به قطعاتكوچكتر از بيست هكتار قبل از اينكه مورد تصويب مراجع فوق قرار گرفته و ابلاغ شودبپذيرند و نسبت به آن اقدام كنند.</w:t>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t>تبصره 2ـ در محدوده مسكوني روستاها صدور اجازه تفكيك با رعايت قوانين جاريكشور و در حدود نيازهاي سكونتي و اجتماعي روستا به عهده وزارت تعاون و امور روستاهايا واحدهاي تابعه آن وزارت كه اختيارات لازم به آنها تفويض شده باشد خواهدبود.</w:t>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t>ماده 4</w:t>
                  </w:r>
                  <w:r w:rsidRPr="00B0015C">
                    <w:rPr>
                      <w:rFonts w:ascii="Tahoma" w:eastAsia="Times New Roman" w:hAnsi="Tahoma" w:cs="Tahoma"/>
                      <w:color w:val="000000" w:themeColor="text1"/>
                      <w:sz w:val="14"/>
                      <w:szCs w:val="14"/>
                      <w:rtl/>
                    </w:rPr>
                    <w:br/>
                    <w:t>ايجاد هر گونه ساختمان و تأسيسات در خارج از محدوده قانوني و حريمشهرها مستلزم رعايت ضوابط عمومي زير است:</w:t>
                  </w:r>
                  <w:r w:rsidRPr="00B0015C">
                    <w:rPr>
                      <w:rFonts w:ascii="Tahoma" w:eastAsia="Times New Roman" w:hAnsi="Tahoma" w:cs="Tahoma"/>
                      <w:color w:val="000000" w:themeColor="text1"/>
                      <w:sz w:val="14"/>
                      <w:szCs w:val="14"/>
                      <w:rtl/>
                    </w:rPr>
                    <w:br/>
                    <w:t>1- رعايت حريم نسبت به راهها، دريا،رودخانه، جنگلها، درياچه ها، تالابها، نهرهاي عمومي، قنوات و چاهها، مسيلها، خطوط وپايه هاي انتقال نيروي برق، خطوط و پايه ها و تأسيسات مخابراتي، پلها و تونلهايواقع در مسير راهها يا تأسيسات عمراني، لوله هاي انتقال نفت و گاز، سدها و كانالهاو شبكه هاي آبياري، خطوط و لوله هاي آبرساني، تأسيسات نظامي و انتظامي و امنيتي ومرزي، تصفيه خانه هاي آب و فاضلاب، سيل بندها و سيل گيرها و ساير تأسيسات عمومي وعمراني و ابنيه و آثار تاريخي و همچنين رعايت ضوابط مقرر توسط، مراجع ذيربط در موردبهداشت عمومي و بهسازي و حفاظ محيط زيست.</w:t>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t>2- مدخل هر ساختمان بايد در گذرگاهي باشد كه لااقل 8 متر عرض داشته و اينگذرگاه در هر حال بايد با شبكه معابر عمومي ارتباط داشته باشد.</w:t>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t>3- رعايت قانون حفظ و گسترش فضاي سبز و جلوگيري از قطع بي رويه درخت در مورداراضي مشجر و باغات و ضوابط مربوط به قانون مذكور و آئين نامه هاي مربوط به آن.</w:t>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lastRenderedPageBreak/>
                    <w:br/>
                    <w:t>4- منظور داشتن حداقل 75 درصد از مساحت زمين به صورت فضاي باز و در صورتي كهساختمان بيش از يك طبقه باشد عدم تجاوز مساحت كل زيربناي ساختمان از 50 درصد مساحتزمين.</w:t>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t>5- ارائه طراحي كه به تصويب مراجع ذيربط دولتي رسيده باشد و در مواردي كهمرجع مشخصي باري تصويب طرح جامع ندارد تأييد مراجع مقرر در ماده 6 اين آئين نامه.</w:t>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t>6- اخذ پروانه ساختمان با رعايت ماده 6 اين آئين نامه و رعايت مشخصات مندرجدر پروانه مذكور.</w:t>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t>تبصره 1ـ ضوابط مذكور در بند 1 اين ماده در صورتي لازم الرعايه خواهد بود كهآن ضوابط به موجب مقررات قانوني وضع و اعلام شده باشد و يا از طرف سازمانهاي ذيربطدر حدود قانون به مراجع صادركننده پروانه ابلاغ گرديده باشد.</w:t>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t>تبصره 2ـ دستورالعمل طرز اجراي بند 6 اين ماده توسط وزارت مسكن و شهرسازي ووزارت كشور تهيه و ابلاغ خواهد شد.</w:t>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t>تبصره 3ـ در محلهائي كه طرح جامع منطقه اي يا ناحيه اي براي آنها تهيهگرديده و به تصويب مراجع مقرر در قوانين مربوط برسد و يا به عنوان قطب كشاورزي ياصنعتي تعيين شود هر گاه ضوابط مشخصي در طرحهاي فوق الذكر از لحاظ تفكيك اراضي وساختماني و ايجاد تأسيسات عمومي مقرر شده باشد ضوابط مذكور در صدور پروانه ساختمانو ايجاد شهرك و صدور اجازه تفكيك ملحوظ خواهد گرديد. وزارت مسكن و شهرسازي موظف استطرحهاي منطقه اي يا ناحيه هاي را در محدوده يك ناحيه شامل يك يا چند شهرستان، تحتعنوان طرحهاي توسعه و عمران (جامع) ناحيه اي، به همراه طرح جامع شهرهاي مراكزشهرستانهاي مشمول ناحيه را براي يك دوره بيست ساله تهيه و كاربريهاي اراضي و ضوابطو مقررات تفكيك زمين و احداث بنا را در محدوده شهرستان يا شهرستانهاي مذكور تعيين وبراي تصويب به شوراي عالي شهرسازي و معماري ايران پيشنهاد نمايد.</w:t>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t>رعايت كليه ضوابط مقرر در طرحهاي توسعه و عمران (جامع) ناحيهاي مصوب و ضوابطزيست محيطي در تهيه و اجراي طرحهاي جامع و هادي كليه شهرهاي واقع در ناحيه مشمولطرحهاي توسعه و عمران مذكور يا احداث شهر و شهركهاي جديد همچنين استفاده از اراضي واحداث بنا و تأسيسات در خارج از محدوده قانوني و حريم شهرهاي واقع در ناحيه ياد شدهضروري است. تغييرات طرحهاي منطقه اي پس از بررسي كارشناسي در وزارت مسكن و شهرسازيبه تصويب شوراي عالي شهرسازي و معماري رسيده و تغييرات طرحهاي ناحيه اي پس از بررسيكارشناسي توسط سازمان مسكن و شهرسازي استان در صورتي كه مغاير با اساس طرح نباشد بهتصويب كميسيون ماده 5 قانون تأسيس شوراي عالي شهرسازي و معماري با حضور نمايندهوزارت نيرو ميرسد و در صورت وجود مغايرت اساسي بايد به تصويب شوراي عالي شهرسازي ومعماري برسد. يك نسخه از مدارك فني طرحها شامل مطالعات و نقشهها و تغيرات آنها دردبيرخانه شوراي عالي شهرسازي و معماري ايران در وزارت مسكن و شهرسازي و يك نسخهديگر از آنها در دبيرخانه كميسيون ماده (5) در سازمان مسكن و شهرسازي استانهانگهداري خواهد شد.</w:t>
                  </w:r>
                  <w:r w:rsidRPr="00B0015C">
                    <w:rPr>
                      <w:rFonts w:ascii="Tahoma" w:eastAsia="Times New Roman" w:hAnsi="Tahoma" w:cs="Tahoma"/>
                      <w:color w:val="000000" w:themeColor="text1"/>
                      <w:sz w:val="14"/>
                      <w:szCs w:val="14"/>
                      <w:rtl/>
                    </w:rPr>
                    <w:br/>
                    <w:t>سازمانهاي مسكن و شهرسازي وظيفه دارند عملكردها را با طرحهاي مصوب تطبيق وموارد تخلف را به استانداريها و وزارت مسكن و شهرسازي گزارش نمايند.</w:t>
                  </w:r>
                  <w:r w:rsidRPr="00B0015C">
                    <w:rPr>
                      <w:rFonts w:ascii="Tahoma" w:eastAsia="Times New Roman" w:hAnsi="Tahoma" w:cs="Tahoma"/>
                      <w:color w:val="000000" w:themeColor="text1"/>
                      <w:sz w:val="14"/>
                      <w:szCs w:val="14"/>
                      <w:rtl/>
                    </w:rPr>
                    <w:br/>
                    <w:t>رعايت بند 3 تبصره 73 قانون برنامه دوم در طرحهاي فوق الذكر ضروري استهمچنين احداث شهرها و شهركهاي جديد در مناطق چهارگانه سازمان حفاظت محيط زيست ممنوعاست.</w:t>
                  </w:r>
                  <w:r w:rsidRPr="00B0015C">
                    <w:rPr>
                      <w:rFonts w:ascii="Tahoma" w:eastAsia="Times New Roman" w:hAnsi="Tahoma" w:cs="Tahoma"/>
                      <w:color w:val="000000" w:themeColor="text1"/>
                      <w:sz w:val="14"/>
                      <w:szCs w:val="14"/>
                      <w:rtl/>
                    </w:rPr>
                    <w:br/>
                    <w:t>تبصره 4ـ حريم مذكور در بند (1) اين ماده نسبت به راهها، به عنوان نوارحفاظتي كه احداث هر گونه ساختمان و تأسيسات در آن ممنوع ميباشد عبارتست از: تا عمق (150) متر از منتهي اليه حريم قانوني راه در طرفين ورودي كليه راههاي بين شهري بهطول (5) تا (20) كيلومتر از انتهاي محدوده استحفاظي هر شهر، مناطق حساسي كه در بقيهطول راه ممكن است در معرض ساخت وساز قرار گيرند به تشخيص كميسيون موضوع ماده (13) اين آئين نامه و تا عمق (150) متر در طرفين تمام طول جاده هاي كمربندي كه خارج ازمحدوده استحفاظي شهرها واقع ميگردند. رعايت مقررات مربوط به حريم قانوني راهها درتمام موارد الزامي است. تعيين طول مناسب نوار حفاظتي هر يك از راههاي بين شهري برحسب اهميت و قابليت توسعه شهر و همچنين تعيين حدود نوار حفاظتي در بقيه طول راههاكه مشمول ممنوعيت احداث هر گونه ساختمان و تأسيسات قرار ميگيرند، بر عهده كميسيونموضوع ماده (13) اين آئيننامه ميباشد.</w:t>
                  </w:r>
                  <w:r w:rsidRPr="00B0015C">
                    <w:rPr>
                      <w:rFonts w:ascii="Tahoma" w:eastAsia="Times New Roman" w:hAnsi="Tahoma" w:cs="Tahoma"/>
                      <w:color w:val="000000" w:themeColor="text1"/>
                      <w:sz w:val="14"/>
                      <w:szCs w:val="14"/>
                      <w:rtl/>
                    </w:rPr>
                    <w:br/>
                    <w:t>در مواردي كه ساختمانها و تأسيساتي طبق ضوابط مقرر در آئين نامه و پس از اخذپروانه در خارج از حدود نوار حفاظتي مزبور يا در منتهي اليه حريم قانوني در بقيهطول راهها ساخته ميشوند، لازم است نقشه چگونگي دسترسي آنها به خطوط مواصلاتي بهتأييد وزارت راه و ترابري برسد. ايجاد خطوط و پايه هاي انتقال نيروي برق و شبكه هايمخابراتي، پلها و تونلهاي واقع در مسير راهها، لوله هاي انتقال نفت و گاز و كانالهاو شبكه هاي آبياري، خطوط و لوله هاي آبرساني، سيلگيرها بعد از حريم راهها از شمولاين آئين نامه مستثني و تابع قوانين و مقررات مربوط، ميباشد.</w:t>
                  </w:r>
                  <w:r w:rsidRPr="00B0015C">
                    <w:rPr>
                      <w:rFonts w:ascii="Tahoma" w:eastAsia="Times New Roman" w:hAnsi="Tahoma" w:cs="Tahoma"/>
                      <w:color w:val="000000" w:themeColor="text1"/>
                      <w:sz w:val="14"/>
                      <w:szCs w:val="14"/>
                      <w:rtl/>
                    </w:rPr>
                    <w:br/>
                    <w:t>تبصره 5ـ احداث بنا و تأسيسات در نوار حفاظتي موضوع تبصره (4) پس از اخذپروانه و رعايت حريم قانوني راه و تأييد كيفيت دسترسي توسط وزارت راه و ترابري، درموارد زير مجاز ميباشد.</w:t>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t>1- تأسيساتي كه بهره برداري (كشت، داشت و برداشت) از زمينهاي كشاورزي وباغها بدون آنها مقدور نباشد.</w:t>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t>2- تأسيسات خدماتي و رفاهي جانبي راه از قبيل پمپبنزين، رستوران، تعميرگاه وامثال آنها با رعايت ضوابط قانوني مربوط به هر يك.</w:t>
                  </w:r>
                  <w:r w:rsidRPr="00B0015C">
                    <w:rPr>
                      <w:rFonts w:ascii="Tahoma" w:eastAsia="Times New Roman" w:hAnsi="Tahoma" w:cs="Tahoma"/>
                      <w:color w:val="000000" w:themeColor="text1"/>
                      <w:sz w:val="14"/>
                      <w:szCs w:val="14"/>
                      <w:rtl/>
                    </w:rPr>
                    <w:br/>
                    <w:t>3- ساختمانهائي كه در طول جاده واقع در محدوده روستاها احداث ميگردند باتأييد كميسيون موضوع ماده (13) اين آئين نامه.</w:t>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t>4- ساختمانهائي كه پروانه آنها با رعايت مقررات مربوط قبل از تاريخ 1/6/1369صادر شده است.</w:t>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t>ماده 5</w:t>
                  </w:r>
                  <w:r w:rsidRPr="00B0015C">
                    <w:rPr>
                      <w:rFonts w:ascii="Tahoma" w:eastAsia="Times New Roman" w:hAnsi="Tahoma" w:cs="Tahoma"/>
                      <w:color w:val="000000" w:themeColor="text1"/>
                      <w:sz w:val="14"/>
                      <w:szCs w:val="14"/>
                      <w:rtl/>
                    </w:rPr>
                    <w:br/>
                    <w:t>در اراضي خارج از محدوده قطبهاي كشاورزي كه مساحت آن پنجهزارمترمربع يا بيشتر باشد ايجاد ساختمان در حدود احتياجات كشاورزي و سكونت شخص مالك ياكشاورز يا كارگران كشاورزي تا ميزان حداكثر 4 درصد مساحت زمين مشروط بر اينكه مساحتزيربناي ساختمان از 600 مترمربع تجاوز نكند مجاز است و بدون نياز به اجراي بند 5ماده 4 اين آئيننامه پروانه ساختمان صادر ميگردد.</w:t>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t>ماده 6</w:t>
                  </w:r>
                  <w:r w:rsidRPr="00B0015C">
                    <w:rPr>
                      <w:rFonts w:ascii="Tahoma" w:eastAsia="Times New Roman" w:hAnsi="Tahoma" w:cs="Tahoma"/>
                      <w:color w:val="000000" w:themeColor="text1"/>
                      <w:sz w:val="14"/>
                      <w:szCs w:val="14"/>
                      <w:rtl/>
                    </w:rPr>
                    <w:br/>
                    <w:t>صدور پروانه ساختمان و اعمال نظارتهاي لازم براي اينكه ساختمانطبق مشخصات و شرايط و ضوابط مندرج در پروانه بنا گردد و ضوابط مقرر در ماده 4 اينآئين نامه در مورد آنها رعايت شود، در خارج از محدوده قانوني و حريم شهرها به عهدهمرجعي خواهد بود كه در هر ناحيه توسط استانداري تعيين ميگردد. مناطقي كه صدورپروانه ساختمان و اعمال نظارت در آنها الزامي است به شرح زير ميباشد:</w:t>
                  </w:r>
                  <w:r w:rsidRPr="00B0015C">
                    <w:rPr>
                      <w:rFonts w:ascii="Tahoma" w:eastAsia="Times New Roman" w:hAnsi="Tahoma" w:cs="Tahoma"/>
                      <w:color w:val="000000" w:themeColor="text1"/>
                      <w:sz w:val="14"/>
                      <w:szCs w:val="14"/>
                      <w:rtl/>
                    </w:rPr>
                    <w:br/>
                    <w:t>الف ـمناطق مجاور شهرهاي بزرگ يا حد فاصله شهرهاي نزديك به هم كه امكان توسعه و اتصالآنها به يكديگر وجود دارد و همچنين اراضي مجاور و نزديك به راههاي مواصلاتي كشور كهحدود آنها توسط كميسيون مضوع ماده (13) اين آئين نامه تعيين و قبلاً از طريق انتشارآگهي در روزنامه هاي كثيرالانتشار ملحي و مركز، اعلام ميگردد.</w:t>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t>ب ـ منـاطقي كه بنا به مقتضيات محل بـه پيشنهاد استانـدار و تصويـب كميسيونموضوع ماده (13) اين آئين نامه احداث بعضي از ساختمانهاي مجاز در آنها مشمول صدورپروانه و نظارت ساختماني ميگردد.</w:t>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t>ج ـ منـاطقي كـه بنا بـه مقتضيات محل به پيشنهاد استاندارد و تصويب كميسيونموضوع ماده (13) اين آئين نامه با اعلام قبلي و انتشار آگهي در روزنامه هايكثيرالانتشار محلي و مركز احداث تمام يا بعضي از انواع ساختمانها در آنها مشمولدريافت پروانه ميگردد.</w:t>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t>د ـ رعايت ضوابط مقرر در بندهاي (1) تا (3) ماده (4) اين آئين نامه در موردكليه مناطق الزامي است</w:t>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lastRenderedPageBreak/>
                    <w:br/>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t>ماده 7</w:t>
                  </w:r>
                  <w:r w:rsidRPr="00B0015C">
                    <w:rPr>
                      <w:rFonts w:ascii="Tahoma" w:eastAsia="Times New Roman" w:hAnsi="Tahoma" w:cs="Tahoma"/>
                      <w:color w:val="000000" w:themeColor="text1"/>
                      <w:sz w:val="14"/>
                      <w:szCs w:val="14"/>
                      <w:rtl/>
                    </w:rPr>
                    <w:br/>
                    <w:t>مراقبت و اعمال نظارت در رعايت ضوابط مقرر در اين آئيننامه وتأمين تسهيلات لازم براي انجام فعاليتهاي سالم و هماهنگ ساختماني در خارج از محدودهقانوني و حريم شهرها و راهنمايي و ارشاد كسانيكه قصد ايجاد ساختماني در خارج وتأسيسات در اين قبيل نقاط، دارند و جلوگيري از تخلفات ساختماني در حوزه هر استان يافرمانداري كل به عهده استاندار يا فرماندار كل ميباشد كه با استفاده از سازمانهايدولتي واقع در حوزه استان اين وظيفه را انجام دهد.</w:t>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t>ماده 8</w:t>
                  </w:r>
                  <w:r w:rsidRPr="00B0015C">
                    <w:rPr>
                      <w:rFonts w:ascii="Tahoma" w:eastAsia="Times New Roman" w:hAnsi="Tahoma" w:cs="Tahoma"/>
                      <w:color w:val="000000" w:themeColor="text1"/>
                      <w:sz w:val="14"/>
                      <w:szCs w:val="14"/>
                      <w:rtl/>
                    </w:rPr>
                    <w:br/>
                    <w:t>هر گاه در ايجاد ساختمانها و تأسيسات در خارج از محدوده قانوني وحريم شهرها و در خارج از قطبهاي كشاورزي رعايت ضوابط مقرر در اين آئين نامه نشدهباشد به طريق زير عمل خواهد شد:</w:t>
                  </w:r>
                  <w:r w:rsidRPr="00B0015C">
                    <w:rPr>
                      <w:rFonts w:ascii="Tahoma" w:eastAsia="Times New Roman" w:hAnsi="Tahoma" w:cs="Tahoma"/>
                      <w:color w:val="000000" w:themeColor="text1"/>
                      <w:sz w:val="14"/>
                      <w:szCs w:val="14"/>
                      <w:rtl/>
                    </w:rPr>
                    <w:br/>
                    <w:t>1. بنا به تشخيص مهندسين و تكنسينهاي ساختمانيو تأسيساتي كه از طرف استاندار مأمور نظارت شده اند يا تقاضاي كتبي سازمانهاي ذيربطدولتي و يا بنا به اعلام فرمانداران و بخشداران كه مورد تأييد مرجع صادركنندهپروانه باشد از طرف استاندار يا فرماندار كل قرار گيرد دستور توقف عمليات ساختمانيصادر و از ادامه كار آن جلوگيري خواهد شد تا تكليف آن طبق مقررات بند 2 اين مادهتعيين شود.</w:t>
                  </w:r>
                  <w:r w:rsidRPr="00B0015C">
                    <w:rPr>
                      <w:rFonts w:ascii="Tahoma" w:eastAsia="Times New Roman" w:hAnsi="Tahoma" w:cs="Tahoma"/>
                      <w:color w:val="000000" w:themeColor="text1"/>
                      <w:sz w:val="14"/>
                      <w:szCs w:val="14"/>
                      <w:rtl/>
                    </w:rPr>
                    <w:br/>
                    <w:t>2. اعم از اينكه عمليات ساختماني خاتمه يافته و مورد بهره برداري قرار گرفتهيا نگرفته و يا ساختمان و تأسيسات قبل از اتمام متوقف و از ادامه آن جلوگيري شدهباشد اتخاذ تصميم در مورد كيفيت رفتار با متخلف با توجه به قوانين و مقررات جاريكشور و تعيين نحوه بهره برداري يا ادامه كار ساختمان به عهده يك هيأت 7 شش نفريمركب از نمايندگان استانداري، انجمن استان، اداره كل مسكن و شهرسازي، اداره كلكشاورزي و منابع طبيعي و اداره كل صنايع و معادن و اداره كل راه و ترابري خواهد بوددر اتخاذ تصميم هيئت مذكور اكثريت سه رأي موافق مناط اعتبار است.</w:t>
                  </w:r>
                  <w:r w:rsidRPr="00B0015C">
                    <w:rPr>
                      <w:rFonts w:ascii="Tahoma" w:eastAsia="Times New Roman" w:hAnsi="Tahoma" w:cs="Tahoma"/>
                      <w:color w:val="000000" w:themeColor="text1"/>
                      <w:sz w:val="14"/>
                      <w:szCs w:val="14"/>
                      <w:rtl/>
                    </w:rPr>
                    <w:br/>
                    <w:t>تبصره ـ كميسيون مكلف است حداكثر ظرف مدت دو ماه از تاريخ توقف عملياتساختماني و يا اعلام تخلف به موضوع رسيدگي و تصميم خود را اعلام نمايد.</w:t>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t>ماده 9</w:t>
                  </w:r>
                  <w:r w:rsidRPr="00B0015C">
                    <w:rPr>
                      <w:rFonts w:ascii="Tahoma" w:eastAsia="Times New Roman" w:hAnsi="Tahoma" w:cs="Tahoma"/>
                      <w:color w:val="000000" w:themeColor="text1"/>
                      <w:sz w:val="14"/>
                      <w:szCs w:val="14"/>
                      <w:rtl/>
                    </w:rPr>
                    <w:br/>
                    <w:t>هر گونه ساختمان اعم از ساختمانهاي مسكوني و عمومي و اجتماعي درمحدوده مسكوني روستاها كه در خارج از محدوده قانوني و حريم شهرها قرار داشته باشدتا زماني كه از طرف وزارت تعاون و امور روستاها ضوابط و مقررات خاصي ايجاد و بهموقع اجراء گذاشته نشده است تابع عرف محلي خواهد بود و تعيين محدوده مسكوني هرروستا به عهده وزارت تعاون و امور روستاها ميباشد</w:t>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t>ماده 10</w:t>
                  </w:r>
                  <w:r w:rsidRPr="00B0015C">
                    <w:rPr>
                      <w:rFonts w:ascii="Tahoma" w:eastAsia="Times New Roman" w:hAnsi="Tahoma" w:cs="Tahoma"/>
                      <w:color w:val="000000" w:themeColor="text1"/>
                      <w:sz w:val="14"/>
                      <w:szCs w:val="14"/>
                      <w:rtl/>
                    </w:rPr>
                    <w:br/>
                    <w:t>ايجاد ساختمانها و تأسيسات نظامي، انتظامي، امنيتي، مرزي و همچنينساختمانها و تأسيسات مربوط به طرحهاي آب و فاضلاب و برق، لولهكشيهاي نفت و گاز،تأسيسات فني مربوط به اكتشاف و استخراج نفت و گاز، خطوط ارتباطي و مخابرايت وواحدها و مجتمعهاي مسكوني و ساير تأسيسات متعلق به سازمانهاي دولتي يا وابسته بهدولت و شهرداريها در خارج از محدوده قانوني شهرها تابع پروژهها و طرحهاي مصوب توسطمراجع و مقامات صلاحيتدار مربوط ميباشد و مقامات تهيهكننده و تصويبكننده اين قبيلپروژهها و طرحها بايد رعايت ضوابط عمومي ايجاد ساختمان و تأسيسات در خارج از محدودهقانوني شهرها را به ترتيبي كه در اين آئيننامه مقرر شده است حسب مورد بنمايند</w:t>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t>ماده 11</w:t>
                  </w:r>
                  <w:r w:rsidRPr="00B0015C">
                    <w:rPr>
                      <w:rFonts w:ascii="Tahoma" w:eastAsia="Times New Roman" w:hAnsi="Tahoma" w:cs="Tahoma"/>
                      <w:color w:val="000000" w:themeColor="text1"/>
                      <w:sz w:val="14"/>
                      <w:szCs w:val="14"/>
                      <w:rtl/>
                    </w:rPr>
                    <w:br/>
                    <w:t>در مورد ايجاد شهرك رعايت ضوابط زير الزامي است:</w:t>
                  </w:r>
                  <w:r w:rsidRPr="00B0015C">
                    <w:rPr>
                      <w:rFonts w:ascii="Tahoma" w:eastAsia="Times New Roman" w:hAnsi="Tahoma" w:cs="Tahoma"/>
                      <w:color w:val="000000" w:themeColor="text1"/>
                      <w:sz w:val="14"/>
                      <w:szCs w:val="14"/>
                      <w:rtl/>
                    </w:rPr>
                    <w:br/>
                    <w:t>1-دريافتگواهي از ادارات كشاورزي و منابع طبيعي، تعاون و امور روستاهاي محلي مبني بربلامانع بودن استفاده از زمين و نيز گواهي شركتهاي آب و برق منطقه اي از نظر وجود ويا امكان ايجاد منابع آب و برق كافي براي تأمين احتياجات شهرك.</w:t>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t>2- ارائه سند مالكيت به نام متقاضي.</w:t>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t>3- تعيين و معرفي مهندس مشاور شهرسازي و معماري مجاز مسئول تهيه طرح و نظارتساختمان شهرك.</w:t>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t>4- منظور داشتن حداقل سي درصد كل مساحت زمين موضوع طرح براي معابر عمومي وفضاي سبز و ميادين و تأسيسات عمومي و اجتماعي و تجهيزات شهري كه غيرقابل تملك خصوصيباشد.</w:t>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t>5-رعايت ضوابط مقرر در ماده 4 اين آئين نامه در هر مورد كه به تشخيص وزارتمسكن و شهرسازي قابل انطباق با ضوابط شهرك سازي باشد</w:t>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t>ماده 12</w:t>
                  </w:r>
                  <w:r w:rsidRPr="00B0015C">
                    <w:rPr>
                      <w:rFonts w:ascii="Tahoma" w:eastAsia="Times New Roman" w:hAnsi="Tahoma" w:cs="Tahoma"/>
                      <w:color w:val="000000" w:themeColor="text1"/>
                      <w:sz w:val="14"/>
                      <w:szCs w:val="14"/>
                      <w:rtl/>
                    </w:rPr>
                    <w:br/>
                    <w:t>12ـ احداث شهرك مستلزم دريافت پروانه ميباشد و دارنده پروانهشهركسازي حق واگذاري يا انتقال پروانه را به ديگري ندارد مگر با موافقت وزارت مسكنو شهرسازي. تبصره ـ ترتيب صدور پروانه تأسيس شهرك و پروانه بهرهبرداري از شهرك طبقدستورالعملي خواهد بود كه به پيشنهاد وزارت مسكن و شهرسازي به تصويب شورايعاليشهرسازي و معماري ايران خواهد رسيد.</w:t>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t>ماده 13</w:t>
                  </w:r>
                  <w:r w:rsidRPr="00B0015C">
                    <w:rPr>
                      <w:rFonts w:ascii="Tahoma" w:eastAsia="Times New Roman" w:hAnsi="Tahoma" w:cs="Tahoma"/>
                      <w:color w:val="000000" w:themeColor="text1"/>
                      <w:sz w:val="14"/>
                      <w:szCs w:val="14"/>
                      <w:rtl/>
                    </w:rPr>
                    <w:br/>
                    <w:t>به منظور بررسي و اتخاذ تصميم مقدماتي در مورد پيشنهادهاي مربوطبه احداث شهركهاي جديد بر اساس مقتضيات و نيازهاي منطقه و اجراي وظائف مقرر در اينآئين نامه و يا دستورالعمل موضوع تبصره ماده 12 در مركز هر استان كميسيوني به رياستاستاندار و شركت مقامات زير تشكيل ميگردد و تصميمات آن با رأي اكثريت مجموع اعضاءمناط اعتبار خواهد بود:</w:t>
                  </w:r>
                  <w:r w:rsidRPr="00B0015C">
                    <w:rPr>
                      <w:rFonts w:ascii="Tahoma" w:eastAsia="Times New Roman" w:hAnsi="Tahoma" w:cs="Tahoma"/>
                      <w:color w:val="000000" w:themeColor="text1"/>
                      <w:sz w:val="14"/>
                      <w:szCs w:val="14"/>
                      <w:rtl/>
                    </w:rPr>
                    <w:br/>
                    <w:t>1- معاون استاندار در امور عمراني كه ضمناً قائم مقاماستاندار در غيبت او خواهد بود.</w:t>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t>2- مديركل مسكن و شهرسازي استان كه ضمناً دبيري كميسيون را نيز به عهدهخواهد داشت.</w:t>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t>3- مديركل كشاورزي و منابع طبيعي استان.</w:t>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t>4- رئيس دفتر مهندسي استان.</w:t>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lastRenderedPageBreak/>
                    <w:br/>
                    <w:t>5- رئيس دفتر برنامه و بودجه استان.</w:t>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t>6- مدير كل راه و ترابري استان.</w:t>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t>7- مسئول سازمان جهادسازندگي استان.</w:t>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t>تبصره 1ـ در استان تهران به جاي مديركل مسكن و شهرسازي استان نماينده واحدشهرسازي و معماري وزارت مسكن و شهرسازي و به جاي رئيس دفتر مهندسي استان نمايندهحوزه معاونت عمراني وزارت كشور عضويت كميسيون را خواهند داشت و در مواقع لزوم ازدبير شوراي نظارت بر گسترش شهر تهران نيز براي شركت در كميسيون دعوت به عمل خواهدآمد.</w:t>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t>تبصره 2ـ در استانهائي كه شوراهاي هماهنگي و نظارت بر توسعه وجود داشته يابعداً ايجاد شود دبيران شوراهاي مذكور نيز عضويت كميسيون را خواهند داشت.</w:t>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t>تبصره 3ـ در هر مورد كه حضور نمايندگان سازمان حفاظت محيطزيست يا وزارتاطلاعات و جهانگردي يا هر يك از سازمانهاي ديگر دولتي در كميسيون لازم و ميسر تشخيصداده شود از آنها نيز دعوت به عمل خواهد آمد.</w:t>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t>ماده 14</w:t>
                  </w:r>
                  <w:r w:rsidRPr="00B0015C">
                    <w:rPr>
                      <w:rFonts w:ascii="Tahoma" w:eastAsia="Times New Roman" w:hAnsi="Tahoma" w:cs="Tahoma"/>
                      <w:color w:val="000000" w:themeColor="text1"/>
                      <w:sz w:val="14"/>
                      <w:szCs w:val="14"/>
                      <w:rtl/>
                    </w:rPr>
                    <w:br/>
                    <w:t>انجام عمليات مربوط به تفكيك ثبتي اراضي شهركها منوط به اتمامعمليات زيربنائي و صدور پروانه بهرهبرداري و اجازه تفكيك ميباشد و بر حسب مورد ممكناست عمليات اجرائي زيربنائي و صدور پروانه و اجازه تفكيك به مراحل مختلف تقسيمگرديده پس از خاتمه عمليات هر قسمت پروانه بهرهبرداري و اجازه تفكيك نسبت به آنقسمت صادر و به احداث كننده شهرك تسليم شود. همچنين در مواردي كه به تشخيص كميسيونمقرر در ماده 13 اين آئيننامه ايجاب كند ميتوان پروانه بهرهبرداري را از لحاظ امكانتفكيك و فروش قطعات ساختمانها و اراضي قبل از اتمام عمليات اجرائي زيربنائي نسبت بههر قسمت از شهرك صادر نمود. مشروط بر اينكه از متقاضي تضمين كافي كه ترتيب آن دردستورالعمل موضوع تبصره ماده 12 اين آئيننامه مقرر خواهد گرديد براي اتمام عملياتزيربنائي قسمتهاي مذكور اخذ شود.</w:t>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t>ماده 15</w:t>
                  </w:r>
                  <w:r w:rsidRPr="00B0015C">
                    <w:rPr>
                      <w:rFonts w:ascii="Tahoma" w:eastAsia="Times New Roman" w:hAnsi="Tahoma" w:cs="Tahoma"/>
                      <w:color w:val="000000" w:themeColor="text1"/>
                      <w:sz w:val="14"/>
                      <w:szCs w:val="14"/>
                      <w:rtl/>
                    </w:rPr>
                    <w:br/>
                    <w:t>در مورد شهركهائي كه قبل از تصويب اين آئيننامه شروع به احداث شدهاست اجازه انجام عمليات شهرسازي و ساختماني پس از رسيدگي و تصويب پروژه شهرك توسطكميسيون مقرر در ماده 13 اين آئين نامه و اخذ تضمين كافي براي تكميل عملياتزيربنائي توسط اداره كل مسكن و شهرسازي استان مربوط صادر خواه شد.</w:t>
                  </w:r>
                  <w:r w:rsidRPr="00B0015C">
                    <w:rPr>
                      <w:rFonts w:ascii="Tahoma" w:eastAsia="Times New Roman" w:hAnsi="Tahoma" w:cs="Tahoma"/>
                      <w:color w:val="000000" w:themeColor="text1"/>
                      <w:sz w:val="14"/>
                      <w:szCs w:val="14"/>
                      <w:rtl/>
                    </w:rPr>
                    <w:br/>
                    <w:t>تبصره 1ـدستورالعمل طرز اجراي اين ماده و تعيين آن مقدار از ضوابط مقرر در مورد شهركهايجديدالاحداث كه رعايت آنها در اين قبيل شهركها لازم و امكان پذير باشد و كيفيت اخذتضمين براي تكميل عمليات زيربنائي با توجه به شرايط خاص هر يك از انواع اين قبيلشهركها توسط وزارت مسكن و شهرسازي تصويب و بر طبق آن رفتار خواهد شد.</w:t>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t>تبصره 2ـ در صورتي كه نحوه تفكيك اراضي اين قبيل شهركها با ضوابط مقرر برايهر يك هماهنگ نباشد با صدور اجازه اصلاح نقشه تفكيكي توسط كميسيون موضوع ماده 13اين آئين نامه اصلاحات لازم در نقشه تفكيكي به عمل خواهد آمد</w:t>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r>
                  <w:r w:rsidRPr="00B0015C">
                    <w:rPr>
                      <w:rFonts w:ascii="Tahoma" w:eastAsia="Times New Roman" w:hAnsi="Tahoma" w:cs="Tahoma"/>
                      <w:color w:val="000000" w:themeColor="text1"/>
                      <w:sz w:val="14"/>
                      <w:szCs w:val="14"/>
                      <w:rtl/>
                    </w:rPr>
                    <w:br/>
                    <w:t>ماده 16</w:t>
                  </w:r>
                  <w:r w:rsidRPr="00B0015C">
                    <w:rPr>
                      <w:rFonts w:ascii="Tahoma" w:eastAsia="Times New Roman" w:hAnsi="Tahoma" w:cs="Tahoma"/>
                      <w:color w:val="000000" w:themeColor="text1"/>
                      <w:sz w:val="14"/>
                      <w:szCs w:val="14"/>
                      <w:rtl/>
                    </w:rPr>
                    <w:br/>
                    <w:t>وظايف و اختياراتي كه در اين آئيننامه براي استاندار يا سايرمقامات در استان تعيين شده است به عهده فرماندار كل و ساير مقامات مربوط درفرمانداري كل خواهد بود</w:t>
                  </w:r>
                </w:p>
              </w:tc>
            </w:tr>
          </w:tbl>
          <w:p w:rsidR="00905178" w:rsidRPr="00B0015C" w:rsidRDefault="00905178" w:rsidP="006B523E">
            <w:pPr>
              <w:bidi/>
              <w:spacing w:after="0" w:line="240" w:lineRule="auto"/>
              <w:rPr>
                <w:rFonts w:ascii="Tahoma" w:eastAsia="Times New Roman" w:hAnsi="Tahoma" w:cs="Tahoma"/>
                <w:color w:val="000000" w:themeColor="text1"/>
                <w:sz w:val="14"/>
                <w:szCs w:val="14"/>
              </w:rPr>
            </w:pPr>
          </w:p>
        </w:tc>
        <w:tc>
          <w:tcPr>
            <w:tcW w:w="0" w:type="auto"/>
            <w:vAlign w:val="center"/>
            <w:hideMark/>
          </w:tcPr>
          <w:p w:rsidR="00905178" w:rsidRPr="00B0015C" w:rsidRDefault="00905178" w:rsidP="00905178">
            <w:pPr>
              <w:spacing w:after="0" w:line="240" w:lineRule="auto"/>
              <w:jc w:val="both"/>
              <w:rPr>
                <w:rFonts w:ascii="Times New Roman" w:eastAsia="Times New Roman" w:hAnsi="Times New Roman" w:cs="Times New Roman"/>
                <w:color w:val="000000" w:themeColor="text1"/>
                <w:sz w:val="20"/>
                <w:szCs w:val="20"/>
              </w:rPr>
            </w:pPr>
          </w:p>
        </w:tc>
      </w:tr>
    </w:tbl>
    <w:p w:rsidR="00905178" w:rsidRPr="00905178" w:rsidRDefault="00905178" w:rsidP="00905178">
      <w:pPr>
        <w:pBdr>
          <w:bottom w:val="single" w:sz="6" w:space="1" w:color="auto"/>
        </w:pBdr>
        <w:jc w:val="right"/>
        <w:rPr>
          <w:rFonts w:hint="cs"/>
          <w:color w:val="000000" w:themeColor="text1"/>
          <w:rtl/>
        </w:rPr>
      </w:pPr>
    </w:p>
    <w:p w:rsidR="00905178" w:rsidRPr="00905178" w:rsidRDefault="00905178" w:rsidP="00905178">
      <w:pPr>
        <w:jc w:val="right"/>
        <w:rPr>
          <w:color w:val="000000" w:themeColor="text1"/>
        </w:rPr>
      </w:pPr>
    </w:p>
    <w:p w:rsidR="00921F14" w:rsidRPr="00905178" w:rsidRDefault="00921F14">
      <w:pPr>
        <w:rPr>
          <w:color w:val="000000" w:themeColor="text1"/>
        </w:rPr>
      </w:pPr>
    </w:p>
    <w:sectPr w:rsidR="00921F14" w:rsidRPr="00905178" w:rsidSect="00921F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905178"/>
    <w:rsid w:val="00905178"/>
    <w:rsid w:val="00921F1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1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2618</Words>
  <Characters>14928</Characters>
  <Application>Microsoft Office Word</Application>
  <DocSecurity>0</DocSecurity>
  <Lines>124</Lines>
  <Paragraphs>35</Paragraphs>
  <ScaleCrop>false</ScaleCrop>
  <Company>MRT www.Win2Farsi.com</Company>
  <LinksUpToDate>false</LinksUpToDate>
  <CharactersWithSpaces>17511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dc:creator>
  <cp:keywords/>
  <dc:description/>
  <cp:lastModifiedBy>MRT</cp:lastModifiedBy>
  <cp:revision>1</cp:revision>
  <dcterms:created xsi:type="dcterms:W3CDTF">2012-05-15T10:46:00Z</dcterms:created>
  <dcterms:modified xsi:type="dcterms:W3CDTF">2012-05-15T10:50:00Z</dcterms:modified>
</cp:coreProperties>
</file>